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274D" w14:textId="77777777" w:rsidR="00AD05CF" w:rsidRDefault="00AD05CF" w:rsidP="00AD05CF">
      <w:pPr>
        <w:pStyle w:val="berschrift1"/>
      </w:pPr>
      <w:r>
        <w:t>Vorbemerkung</w:t>
      </w:r>
    </w:p>
    <w:p w14:paraId="28BA8DEA" w14:textId="77777777" w:rsidR="00AD05CF" w:rsidRDefault="00AD05CF" w:rsidP="00AD05CF">
      <w:pPr>
        <w:pStyle w:val="berschrift2"/>
      </w:pPr>
      <w:r>
        <w:t>1.1. Zum Ort – Background für die Provenienzforschung</w:t>
      </w:r>
    </w:p>
    <w:p w14:paraId="17E314CA" w14:textId="77777777" w:rsidR="00AD05CF" w:rsidRDefault="00AD05CF" w:rsidP="00AD05CF">
      <w:pPr>
        <w:pStyle w:val="berschrift2"/>
      </w:pPr>
      <w:r>
        <w:t>1.2. Zum Museum und seinen Sammlungen</w:t>
      </w:r>
    </w:p>
    <w:p w14:paraId="318D3A06" w14:textId="77777777" w:rsidR="00AD05CF" w:rsidRDefault="00AD05CF" w:rsidP="00AD05CF">
      <w:pPr>
        <w:autoSpaceDE w:val="0"/>
        <w:autoSpaceDN w:val="0"/>
        <w:adjustRightInd w:val="0"/>
        <w:spacing w:after="0" w:line="240" w:lineRule="auto"/>
        <w:rPr>
          <w:rFonts w:ascii="Fieldwork-Geo-Regular" w:hAnsi="Fieldwork-Geo-Regular" w:cs="Fieldwork-Geo-Regular"/>
          <w:kern w:val="0"/>
          <w:sz w:val="19"/>
          <w:szCs w:val="19"/>
        </w:rPr>
      </w:pPr>
    </w:p>
    <w:p w14:paraId="7DA1477F" w14:textId="3782AEC1" w:rsidR="00AD05CF" w:rsidRDefault="00AD05CF" w:rsidP="00AD05CF">
      <w:pPr>
        <w:pStyle w:val="berschrift1"/>
      </w:pPr>
      <w:r>
        <w:t>2 Forschungsstand und Recherche</w:t>
      </w:r>
    </w:p>
    <w:p w14:paraId="2F40C33B" w14:textId="2B76F583" w:rsidR="00AD05CF" w:rsidRDefault="00AD05CF" w:rsidP="00AD05CF">
      <w:pPr>
        <w:pStyle w:val="berschrift2"/>
      </w:pPr>
      <w:r>
        <w:t>2.1 Das Museum 1933–1945</w:t>
      </w:r>
    </w:p>
    <w:p w14:paraId="628E7E15" w14:textId="0DB55C70" w:rsidR="00AD05CF" w:rsidRDefault="00AD05CF" w:rsidP="00AD05CF">
      <w:pPr>
        <w:pStyle w:val="berschrift3"/>
      </w:pPr>
      <w:r>
        <w:t>2.1.1 Entwicklung der Sammlung, Auslagerungen, Verluste</w:t>
      </w:r>
    </w:p>
    <w:p w14:paraId="0F87C8B1" w14:textId="01A7F0DC" w:rsidR="00AD05CF" w:rsidRDefault="00AD05CF" w:rsidP="00AD05CF">
      <w:pPr>
        <w:pStyle w:val="berschrift3"/>
      </w:pPr>
      <w:r>
        <w:t>2.1.2 Personalien betreffend Museum, Politik und Verwaltung vor Ort</w:t>
      </w:r>
    </w:p>
    <w:p w14:paraId="672AF8B4" w14:textId="22CFD5EE" w:rsidR="00AD05CF" w:rsidRDefault="00AD05CF" w:rsidP="00AD05CF">
      <w:pPr>
        <w:pStyle w:val="berschrift3"/>
      </w:pPr>
      <w:r>
        <w:t>2.1.3 Weitere relevante Personen</w:t>
      </w:r>
    </w:p>
    <w:p w14:paraId="25D34FAA" w14:textId="742F07EC" w:rsidR="00AD05CF" w:rsidRDefault="00AD05CF" w:rsidP="00AD05CF">
      <w:pPr>
        <w:pStyle w:val="berschrift3"/>
      </w:pPr>
      <w:r>
        <w:t>(z. B. Kunsthändler, Privatsammler, Museumsleute,</w:t>
      </w:r>
      <w:r>
        <w:t xml:space="preserve"> </w:t>
      </w:r>
      <w:r>
        <w:t>Künstler, Politiker)</w:t>
      </w:r>
    </w:p>
    <w:p w14:paraId="36A3FA9C" w14:textId="1A4ED32C" w:rsidR="00AD05CF" w:rsidRDefault="00AD05CF" w:rsidP="00AD05CF">
      <w:pPr>
        <w:pStyle w:val="berschrift2"/>
      </w:pPr>
      <w:r>
        <w:t>2.2 Objektdokumentation</w:t>
      </w:r>
    </w:p>
    <w:p w14:paraId="4BD201F2" w14:textId="5D07F771" w:rsidR="00AD05CF" w:rsidRDefault="00AD05CF" w:rsidP="00AD05CF">
      <w:pPr>
        <w:pStyle w:val="berschrift3"/>
      </w:pPr>
      <w:r>
        <w:t>2.2.1 Eingangsbücher, Zugangsbücher, Inventar</w:t>
      </w:r>
    </w:p>
    <w:p w14:paraId="52A1817F" w14:textId="15AC91F1" w:rsidR="00AD05CF" w:rsidRDefault="00AD05CF" w:rsidP="00AD05CF">
      <w:pPr>
        <w:pStyle w:val="berschrift3"/>
      </w:pPr>
      <w:r>
        <w:t>2.2.2 Inventarkarten, Bestandslisten, Übersichten, Kataloge u. a.</w:t>
      </w:r>
    </w:p>
    <w:p w14:paraId="18F1C426" w14:textId="18678B4B" w:rsidR="00AD05CF" w:rsidRDefault="00AD05CF" w:rsidP="00AD05CF">
      <w:pPr>
        <w:pStyle w:val="berschrift4"/>
      </w:pPr>
      <w:r>
        <w:t>2.2.3 Weitere Archivquellen</w:t>
      </w:r>
    </w:p>
    <w:p w14:paraId="0DFEA592" w14:textId="57576D53" w:rsidR="00AD05CF" w:rsidRDefault="00AD05CF" w:rsidP="00AD05CF">
      <w:pPr>
        <w:pStyle w:val="berschrift4"/>
      </w:pPr>
      <w:r>
        <w:t>2.2.3.1 Archivalien im Museum</w:t>
      </w:r>
    </w:p>
    <w:p w14:paraId="7D229B9E" w14:textId="5009E204" w:rsidR="00AD05CF" w:rsidRDefault="00AD05CF" w:rsidP="00AD05CF">
      <w:pPr>
        <w:pStyle w:val="berschrift4"/>
      </w:pPr>
      <w:r>
        <w:t>2.2.3.2 Archivalien in anderen Archiven</w:t>
      </w:r>
    </w:p>
    <w:p w14:paraId="33B8E47A" w14:textId="26309DA1" w:rsidR="00AD05CF" w:rsidRDefault="00AD05CF" w:rsidP="00AD05CF">
      <w:pPr>
        <w:pStyle w:val="berschrift2"/>
      </w:pPr>
      <w:r>
        <w:t>2.3 Nicht durchgesehene Bestände</w:t>
      </w:r>
    </w:p>
    <w:p w14:paraId="5721DB55" w14:textId="77777777" w:rsidR="00AD05CF" w:rsidRDefault="00AD05CF" w:rsidP="00AD05CF">
      <w:pPr>
        <w:pStyle w:val="berschrift2"/>
      </w:pPr>
      <w:r>
        <w:t>2.4. Autopsien</w:t>
      </w:r>
    </w:p>
    <w:p w14:paraId="48E842DD" w14:textId="4B4FE245" w:rsidR="00AD05CF" w:rsidRDefault="00AD05CF" w:rsidP="00AD05CF">
      <w:pPr>
        <w:pStyle w:val="berschrift2"/>
      </w:pPr>
      <w:r>
        <w:t>2.5 Zur Verfolgung und Entrechtung vor Ort 1933–1945</w:t>
      </w:r>
    </w:p>
    <w:p w14:paraId="046263E8" w14:textId="6A3B4741" w:rsidR="00AD05CF" w:rsidRDefault="00AD05CF" w:rsidP="00AD05CF">
      <w:pPr>
        <w:pStyle w:val="berschrift2"/>
      </w:pPr>
      <w:r>
        <w:t xml:space="preserve">2.6 Nachfragen bei ehemaligen </w:t>
      </w:r>
      <w:proofErr w:type="spellStart"/>
      <w:proofErr w:type="gramStart"/>
      <w:r>
        <w:t>Museumsleiter:innen</w:t>
      </w:r>
      <w:proofErr w:type="spellEnd"/>
      <w:proofErr w:type="gramEnd"/>
      <w:r>
        <w:t xml:space="preserve"> </w:t>
      </w:r>
      <w:r>
        <w:t>bzw. -</w:t>
      </w:r>
      <w:proofErr w:type="spellStart"/>
      <w:r>
        <w:t>mitarbeiter:innen</w:t>
      </w:r>
      <w:proofErr w:type="spellEnd"/>
    </w:p>
    <w:p w14:paraId="7616BB3E" w14:textId="77777777" w:rsidR="00AD05CF" w:rsidRDefault="00AD05CF" w:rsidP="00AD05CF">
      <w:pPr>
        <w:autoSpaceDE w:val="0"/>
        <w:autoSpaceDN w:val="0"/>
        <w:adjustRightInd w:val="0"/>
        <w:spacing w:after="0" w:line="240" w:lineRule="auto"/>
        <w:rPr>
          <w:rFonts w:ascii="Fieldwork-Geo-Regular" w:hAnsi="Fieldwork-Geo-Regular" w:cs="Fieldwork-Geo-Regular"/>
          <w:kern w:val="0"/>
          <w:sz w:val="19"/>
          <w:szCs w:val="19"/>
        </w:rPr>
      </w:pPr>
    </w:p>
    <w:p w14:paraId="1866B7CC" w14:textId="586AF9FB" w:rsidR="00AD05CF" w:rsidRDefault="00AD05CF" w:rsidP="00AD05CF">
      <w:pPr>
        <w:pStyle w:val="berschrift1"/>
      </w:pPr>
      <w:r>
        <w:t xml:space="preserve">3 </w:t>
      </w:r>
      <w:r>
        <w:t>Objektlisten</w:t>
      </w:r>
    </w:p>
    <w:p w14:paraId="37A5C921" w14:textId="1B050700" w:rsidR="00AD05CF" w:rsidRDefault="00AD05CF" w:rsidP="00AD05CF">
      <w:pPr>
        <w:pStyle w:val="berschrift2"/>
      </w:pPr>
      <w:r>
        <w:t>3.1 NS-verdächtige Provenienz vor und nach 1945</w:t>
      </w:r>
    </w:p>
    <w:p w14:paraId="6E21BD6B" w14:textId="2AEA454C" w:rsidR="00AD05CF" w:rsidRDefault="00AD05CF" w:rsidP="00AD05CF">
      <w:pPr>
        <w:pStyle w:val="berschrift2"/>
      </w:pPr>
      <w:r>
        <w:t>3.2 Unklare Provenienz 1933–1945</w:t>
      </w:r>
    </w:p>
    <w:p w14:paraId="1F6CA82F" w14:textId="78713438" w:rsidR="00AD05CF" w:rsidRDefault="00AD05CF" w:rsidP="00AD05CF">
      <w:pPr>
        <w:pStyle w:val="berschrift2"/>
      </w:pPr>
      <w:r>
        <w:t>3.3 Unklare Provenienz nach 1945</w:t>
      </w:r>
    </w:p>
    <w:p w14:paraId="2085AB19" w14:textId="3F5AAF80" w:rsidR="00AD05CF" w:rsidRDefault="00AD05CF" w:rsidP="00AD05CF">
      <w:pPr>
        <w:pStyle w:val="berschrift2"/>
      </w:pPr>
      <w:r>
        <w:t xml:space="preserve">3.4 Evtl. weiterer Bedarf für </w:t>
      </w:r>
      <w:proofErr w:type="spellStart"/>
      <w:r>
        <w:t>Provenienzforschungen</w:t>
      </w:r>
      <w:proofErr w:type="spellEnd"/>
      <w:r>
        <w:t xml:space="preserve"> </w:t>
      </w:r>
      <w:r>
        <w:t>(z. B. bezüglich Kolonialismus)</w:t>
      </w:r>
    </w:p>
    <w:p w14:paraId="46142718" w14:textId="77777777" w:rsidR="00AD05CF" w:rsidRDefault="00AD05CF" w:rsidP="00AD05CF">
      <w:pPr>
        <w:autoSpaceDE w:val="0"/>
        <w:autoSpaceDN w:val="0"/>
        <w:adjustRightInd w:val="0"/>
        <w:spacing w:after="0" w:line="240" w:lineRule="auto"/>
        <w:rPr>
          <w:rFonts w:ascii="Fieldwork-Geo-Regular" w:hAnsi="Fieldwork-Geo-Regular" w:cs="Fieldwork-Geo-Regular"/>
          <w:kern w:val="0"/>
          <w:sz w:val="19"/>
          <w:szCs w:val="19"/>
        </w:rPr>
      </w:pPr>
    </w:p>
    <w:p w14:paraId="43019D19" w14:textId="4020F4E1" w:rsidR="00AD05CF" w:rsidRDefault="00AD05CF" w:rsidP="00AD05CF">
      <w:pPr>
        <w:pStyle w:val="berschrift1"/>
      </w:pPr>
      <w:r>
        <w:t>4 Zusammenfassung und Empfehlungen</w:t>
      </w:r>
    </w:p>
    <w:p w14:paraId="2FF498B5" w14:textId="4B5F2C70" w:rsidR="00AD05CF" w:rsidRDefault="00AD05CF" w:rsidP="00AD05CF">
      <w:pPr>
        <w:pStyle w:val="berschrift2"/>
      </w:pPr>
      <w:r>
        <w:t>4.1Altbestand (im Sinne des Projekts: bis 1945 erworben)</w:t>
      </w:r>
    </w:p>
    <w:p w14:paraId="55931C50" w14:textId="1D389038" w:rsidR="00AD05CF" w:rsidRDefault="00AD05CF" w:rsidP="00AD05CF">
      <w:pPr>
        <w:pStyle w:val="berschrift2"/>
      </w:pPr>
      <w:r>
        <w:t>4.2 Neuerwerbungen ab Kriegsende</w:t>
      </w:r>
    </w:p>
    <w:p w14:paraId="366DAAF4" w14:textId="1E016B6B" w:rsidR="00AD05CF" w:rsidRDefault="00AD05CF" w:rsidP="00AD05CF">
      <w:pPr>
        <w:pStyle w:val="berschrift2"/>
      </w:pPr>
      <w:r>
        <w:t>4.3 Empfehlungen für die Weiterführung der Provenienzforschung</w:t>
      </w:r>
    </w:p>
    <w:sectPr w:rsidR="00AD05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eldwork-Ge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CF"/>
    <w:rsid w:val="00AD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0310"/>
  <w15:chartTrackingRefBased/>
  <w15:docId w15:val="{B92815CF-24FC-4804-B90E-A016B2E1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0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0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D05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D05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0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0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05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D05C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 MVST</dc:creator>
  <cp:keywords/>
  <dc:description/>
  <cp:lastModifiedBy>Anwender MVST</cp:lastModifiedBy>
  <cp:revision>1</cp:revision>
  <dcterms:created xsi:type="dcterms:W3CDTF">2023-12-19T12:29:00Z</dcterms:created>
  <dcterms:modified xsi:type="dcterms:W3CDTF">2023-12-19T12:33:00Z</dcterms:modified>
</cp:coreProperties>
</file>